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12" w:rsidRDefault="00010A12" w:rsidP="00010A12">
      <w:pPr>
        <w:jc w:val="center"/>
        <w:rPr>
          <w:caps/>
          <w:spacing w:val="-12"/>
        </w:rPr>
      </w:pPr>
      <w:r>
        <w:t>Департамент образования города Москвы</w:t>
      </w:r>
      <w: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РАБОЧАЯ ПРОГРАММа</w:t>
      </w:r>
    </w:p>
    <w:p w:rsidR="00010A12" w:rsidRDefault="00010A12" w:rsidP="00010A12">
      <w:pPr>
        <w:widowControl w:val="0"/>
        <w:jc w:val="center"/>
        <w:rPr>
          <w:szCs w:val="28"/>
        </w:rPr>
      </w:pPr>
      <w:r>
        <w:rPr>
          <w:szCs w:val="28"/>
        </w:rPr>
        <w:t>учебной  дисциплины</w:t>
      </w:r>
    </w:p>
    <w:p w:rsidR="00010A12" w:rsidRDefault="00010A12" w:rsidP="00010A12">
      <w:pPr>
        <w:widowControl w:val="0"/>
        <w:jc w:val="center"/>
        <w:rPr>
          <w:szCs w:val="28"/>
        </w:rPr>
      </w:pPr>
    </w:p>
    <w:p w:rsidR="00010A12" w:rsidRDefault="00010A12" w:rsidP="00010A12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ОПД.08. Правовое обеспечение профессиональной деятельности </w:t>
      </w:r>
    </w:p>
    <w:p w:rsidR="00010A12" w:rsidRDefault="00010A12" w:rsidP="00010A12">
      <w:pPr>
        <w:widowControl w:val="0"/>
        <w:jc w:val="center"/>
        <w:rPr>
          <w:szCs w:val="28"/>
        </w:rPr>
      </w:pPr>
      <w:r>
        <w:rPr>
          <w:szCs w:val="28"/>
        </w:rPr>
        <w:t>по специальности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280711  Рациональное использование природохозяйственных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Cs w:val="28"/>
        </w:rPr>
        <w:t xml:space="preserve"> комплексов 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Москва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>
        <w:t>2015</w:t>
      </w:r>
      <w:r>
        <w:rPr>
          <w:i/>
          <w:iCs/>
        </w:rPr>
        <w:t xml:space="preserve"> 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010A12" w:rsidTr="00010A12">
        <w:trPr>
          <w:trHeight w:val="8647"/>
        </w:trPr>
        <w:tc>
          <w:tcPr>
            <w:tcW w:w="4644" w:type="dxa"/>
          </w:tcPr>
          <w:p w:rsidR="00010A12" w:rsidRDefault="00010A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ОДОБРЕНА</w:t>
            </w:r>
          </w:p>
          <w:p w:rsidR="00010A12" w:rsidRDefault="00010A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10A12" w:rsidRDefault="00010A12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>
              <w:rPr>
                <w:szCs w:val="28"/>
              </w:rPr>
              <w:t>Кафедрой общеобразовательных</w:t>
            </w:r>
          </w:p>
          <w:p w:rsidR="00010A12" w:rsidRDefault="00010A12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</w:p>
          <w:p w:rsidR="00010A12" w:rsidRDefault="00010A12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>
              <w:rPr>
                <w:szCs w:val="28"/>
              </w:rPr>
              <w:t xml:space="preserve"> дисциплин</w:t>
            </w:r>
          </w:p>
          <w:p w:rsidR="00010A12" w:rsidRDefault="00010A12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</w:p>
          <w:p w:rsidR="00010A12" w:rsidRDefault="00010A12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>
              <w:rPr>
                <w:szCs w:val="28"/>
              </w:rPr>
              <w:t>протокол № _____</w:t>
            </w:r>
          </w:p>
          <w:p w:rsidR="00010A12" w:rsidRDefault="00010A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 «   »                  2015 г.</w:t>
            </w:r>
          </w:p>
        </w:tc>
        <w:tc>
          <w:tcPr>
            <w:tcW w:w="4821" w:type="dxa"/>
          </w:tcPr>
          <w:p w:rsidR="00010A12" w:rsidRDefault="00010A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10A12" w:rsidRDefault="00010A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10A12" w:rsidRDefault="00010A1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010A12" w:rsidRDefault="00010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280711  Рациональное использование природохозяйственных</w:t>
            </w:r>
          </w:p>
          <w:p w:rsidR="00010A12" w:rsidRDefault="00010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комплексов</w:t>
            </w:r>
          </w:p>
        </w:tc>
      </w:tr>
      <w:tr w:rsidR="00010A12" w:rsidTr="00010A12">
        <w:tc>
          <w:tcPr>
            <w:tcW w:w="4644" w:type="dxa"/>
          </w:tcPr>
          <w:p w:rsidR="00010A12" w:rsidRDefault="00010A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Заведующий кафедрой </w:t>
            </w:r>
          </w:p>
          <w:p w:rsidR="00010A12" w:rsidRDefault="00010A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10A12" w:rsidRDefault="00010A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__________ / Клюева И.В./     </w:t>
            </w:r>
          </w:p>
        </w:tc>
        <w:tc>
          <w:tcPr>
            <w:tcW w:w="4821" w:type="dxa"/>
          </w:tcPr>
          <w:p w:rsidR="00010A12" w:rsidRDefault="00010A12">
            <w:pPr>
              <w:pStyle w:val="msonormalbullet2gif"/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Заместитель директора по координации учебных программ и проектов</w:t>
            </w:r>
          </w:p>
          <w:p w:rsidR="00010A12" w:rsidRDefault="00010A12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t xml:space="preserve">                                                                           </w:t>
      </w:r>
      <w:r>
        <w:rPr>
          <w:b/>
          <w:bCs/>
        </w:rPr>
        <w:t xml:space="preserve">                             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b/>
          <w:bCs/>
          <w:szCs w:val="28"/>
        </w:rPr>
        <w:t>Составитель (автор)</w:t>
      </w:r>
      <w:r>
        <w:rPr>
          <w:szCs w:val="28"/>
        </w:rPr>
        <w:t xml:space="preserve">: 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 xml:space="preserve">Бужинец  Н. Н., преподаватель первой квалификационной категории ГБПОУ  г. Москвы Колледж «Царицыно» 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</w:t>
      </w:r>
    </w:p>
    <w:p w:rsidR="00010A12" w:rsidRDefault="00010A12" w:rsidP="00010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>Рецензент</w:t>
      </w:r>
      <w:r>
        <w:rPr>
          <w:szCs w:val="28"/>
        </w:rPr>
        <w:t xml:space="preserve">:    </w:t>
      </w:r>
    </w:p>
    <w:p w:rsidR="00010A12" w:rsidRDefault="00010A12" w:rsidP="00010A1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Костик  И.Э., кандидат юридических наук, преподаватель ГБПОУ г. Москвы «Юридический колледж»</w:t>
      </w:r>
    </w:p>
    <w:p w:rsidR="002D70B6" w:rsidRDefault="002D70B6" w:rsidP="00010A12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  <w:r>
        <w:rPr>
          <w:b/>
          <w:bCs/>
          <w:color w:val="000000"/>
          <w:kern w:val="36"/>
          <w:szCs w:val="28"/>
          <w:lang w:eastAsia="ru-RU"/>
        </w:rPr>
        <w:lastRenderedPageBreak/>
        <w:t>СОДЕРЖАНИЕ</w:t>
      </w:r>
    </w:p>
    <w:p w:rsidR="002D70B6" w:rsidRPr="00010A12" w:rsidRDefault="002D70B6" w:rsidP="002D70B6">
      <w:pPr>
        <w:pStyle w:val="21"/>
        <w:rPr>
          <w:color w:val="000000"/>
          <w:kern w:val="36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3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lastRenderedPageBreak/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A95CDC" w:rsidRPr="00A95CDC" w:rsidRDefault="00D008E6" w:rsidP="00A9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Cs w:val="28"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F2641">
        <w:rPr>
          <w:szCs w:val="28"/>
        </w:rPr>
        <w:t xml:space="preserve"> </w:t>
      </w:r>
      <w:r w:rsidR="00A95CDC" w:rsidRPr="00A95CDC">
        <w:rPr>
          <w:b/>
          <w:szCs w:val="28"/>
        </w:rPr>
        <w:t>280711  Рациональное использование природохозяйственных</w:t>
      </w:r>
      <w:r w:rsidR="00A95CDC">
        <w:rPr>
          <w:b/>
          <w:szCs w:val="28"/>
        </w:rPr>
        <w:t xml:space="preserve"> комплексов.</w:t>
      </w:r>
    </w:p>
    <w:p w:rsidR="00A95CDC" w:rsidRPr="00B146D8" w:rsidRDefault="00A95CDC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A95CDC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34290F">
              <w:rPr>
                <w:szCs w:val="28"/>
              </w:rPr>
              <w:t xml:space="preserve"> </w:t>
            </w:r>
            <w:r w:rsidR="00D008E6" w:rsidRPr="00B146D8">
              <w:rPr>
                <w:szCs w:val="28"/>
              </w:rPr>
              <w:t>час</w:t>
            </w:r>
            <w:r w:rsidR="0034290F">
              <w:rPr>
                <w:szCs w:val="28"/>
              </w:rPr>
              <w:t>а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4</w:t>
            </w:r>
            <w:r w:rsidR="0034290F">
              <w:rPr>
                <w:szCs w:val="28"/>
              </w:rPr>
              <w:t>8 часов</w:t>
            </w:r>
            <w:r w:rsidRPr="00B146D8">
              <w:rPr>
                <w:szCs w:val="28"/>
              </w:rPr>
              <w:t>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A648E">
              <w:rPr>
                <w:szCs w:val="28"/>
              </w:rPr>
              <w:t xml:space="preserve">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CF3435" w:rsidRDefault="00CF3435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</w:p>
    <w:p w:rsidR="00CF3435" w:rsidRDefault="00CF3435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1439B0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72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48</w:t>
            </w:r>
          </w:p>
        </w:tc>
      </w:tr>
      <w:tr w:rsidR="00FB5352" w:rsidRPr="001439B0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B20E5D" w:rsidRDefault="00FB5352" w:rsidP="00083204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083204">
        <w:trPr>
          <w:trHeight w:val="570"/>
          <w:jc w:val="center"/>
        </w:trPr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083204" w:rsidRPr="00B20E5D" w:rsidRDefault="00934D7B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083204" w:rsidRPr="00CF3435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</w:t>
            </w:r>
            <w:r w:rsidR="00A95CDC">
              <w:rPr>
                <w:b/>
                <w:iCs/>
                <w:szCs w:val="28"/>
              </w:rPr>
              <w:t>6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252638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1754" w:type="dxa"/>
            <w:shd w:val="clear" w:color="auto" w:fill="auto"/>
          </w:tcPr>
          <w:p w:rsidR="00FB5352" w:rsidRPr="00CF3435" w:rsidRDefault="00FB5352" w:rsidP="00573564">
            <w:pPr>
              <w:jc w:val="center"/>
              <w:rPr>
                <w:b/>
                <w:iCs/>
                <w:szCs w:val="28"/>
              </w:rPr>
            </w:pPr>
            <w:r w:rsidRPr="00CF3435">
              <w:rPr>
                <w:b/>
                <w:iCs/>
                <w:szCs w:val="28"/>
              </w:rPr>
              <w:t>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Самостоятельная работа обучающегося (всего)</w:t>
            </w:r>
          </w:p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szCs w:val="28"/>
              </w:rPr>
              <w:t>Работа с Интернет-ресурсами, работа с учебным материалом, подготовка рефератов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24</w:t>
            </w:r>
          </w:p>
        </w:tc>
      </w:tr>
      <w:tr w:rsidR="00FB5352" w:rsidRPr="001439B0" w:rsidTr="00573564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:rsidR="00FB5352" w:rsidRPr="00B20E5D" w:rsidRDefault="00FB5352" w:rsidP="00252638">
            <w:pPr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Итоговая </w:t>
            </w:r>
            <w:r w:rsidRPr="00FF440D">
              <w:rPr>
                <w:b/>
                <w:iCs/>
                <w:szCs w:val="28"/>
              </w:rPr>
              <w:t>аттестация в форме</w:t>
            </w:r>
            <w:r w:rsidR="005B7FFC">
              <w:rPr>
                <w:szCs w:val="28"/>
              </w:rPr>
              <w:t xml:space="preserve">  </w:t>
            </w:r>
            <w:r w:rsidR="005B7FFC" w:rsidRPr="005B7FFC">
              <w:rPr>
                <w:b/>
                <w:szCs w:val="28"/>
              </w:rPr>
              <w:t>дифференцированного</w:t>
            </w:r>
            <w:r w:rsidRPr="00B20E5D">
              <w:rPr>
                <w:iCs/>
                <w:szCs w:val="28"/>
              </w:rPr>
              <w:t xml:space="preserve"> </w:t>
            </w:r>
            <w:r w:rsidR="00252638" w:rsidRPr="00252638">
              <w:rPr>
                <w:b/>
                <w:iCs/>
                <w:szCs w:val="28"/>
              </w:rPr>
              <w:t xml:space="preserve"> зачета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5564"/>
        <w:gridCol w:w="709"/>
        <w:gridCol w:w="681"/>
      </w:tblGrid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7E176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8C437B" w:rsidRDefault="007E176B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D70B6" w:rsidTr="009F207E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 1. </w:t>
            </w:r>
          </w:p>
          <w:p w:rsidR="002D70B6" w:rsidRDefault="007B1EB7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F07252" w:rsidRDefault="00621946" w:rsidP="00F07252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  <w:r w:rsidR="008E61CA"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207E" w:rsidTr="009F207E">
        <w:trPr>
          <w:trHeight w:val="201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BC21F9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1.</w:t>
            </w:r>
            <w:r w:rsidR="00E2040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9F207E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BD55D5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Default="009F207E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Default="00F07252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Pr="00F07252" w:rsidRDefault="00F0725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1</w:t>
            </w:r>
          </w:p>
        </w:tc>
      </w:tr>
      <w:tr w:rsidR="00F402E2" w:rsidTr="001B2654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BC21F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="00F402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Pr="001B2654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2D70B6" w:rsidTr="001033B9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F402E2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921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C862F6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1B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862F6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по </w:t>
            </w:r>
            <w:r w:rsidR="00C862F6">
              <w:rPr>
                <w:sz w:val="24"/>
                <w:szCs w:val="24"/>
              </w:rPr>
              <w:t xml:space="preserve">отрасли </w:t>
            </w:r>
            <w:r w:rsidR="00E2040B">
              <w:rPr>
                <w:sz w:val="24"/>
                <w:szCs w:val="24"/>
              </w:rPr>
              <w:t>гражданск</w:t>
            </w:r>
            <w:r w:rsidR="001B2654">
              <w:rPr>
                <w:sz w:val="24"/>
                <w:szCs w:val="24"/>
              </w:rPr>
              <w:t>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090AA3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3</w:t>
            </w:r>
          </w:p>
        </w:tc>
      </w:tr>
      <w:tr w:rsidR="003D6D3A" w:rsidTr="00B6793D">
        <w:trPr>
          <w:trHeight w:val="138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D3A" w:rsidRDefault="003D6D3A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1.3 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права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Pr="00B30592" w:rsidRDefault="003D6D3A" w:rsidP="003D6D3A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Default="003D6D3A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D6D3A" w:rsidRDefault="003D6D3A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6D3A" w:rsidRDefault="003D6D3A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D6D3A" w:rsidRDefault="003D6D3A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6D3A" w:rsidRDefault="003D6D3A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290F" w:rsidTr="00573564">
        <w:trPr>
          <w:trHeight w:val="21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90F" w:rsidRDefault="0034290F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0F" w:rsidRDefault="0034290F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составить исковое заявление о защите деловой репутации, решение задач</w:t>
            </w:r>
          </w:p>
          <w:p w:rsidR="0034290F" w:rsidRDefault="0034290F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Default="0034290F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Pr="00F402E2" w:rsidRDefault="0034290F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3F7299" w:rsidTr="003F7299">
        <w:trPr>
          <w:trHeight w:val="61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299" w:rsidRDefault="003F729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1. 4</w:t>
            </w:r>
          </w:p>
          <w:p w:rsidR="003F7299" w:rsidRDefault="003F729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</w:p>
          <w:p w:rsidR="003F7299" w:rsidRDefault="003F7299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99" w:rsidRPr="00B7423A" w:rsidRDefault="003F7299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99" w:rsidRPr="00B7423A" w:rsidRDefault="003F7299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F7299" w:rsidRDefault="003F7299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299" w:rsidRDefault="003F7299" w:rsidP="00940F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F7299" w:rsidRDefault="003F7299" w:rsidP="00940F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22B01" w:rsidTr="00CD1147">
        <w:trPr>
          <w:trHeight w:val="474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2B01" w:rsidRDefault="00B22B01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B01" w:rsidRDefault="00B22B01" w:rsidP="00A956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B22B01" w:rsidRDefault="00B22B01" w:rsidP="00A956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B01" w:rsidRDefault="00B22B01" w:rsidP="00A956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Pr="00F402E2" w:rsidRDefault="00B22B01" w:rsidP="00A956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3D6D3A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1.5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8C437B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40F7E" w:rsidTr="00940F7E">
        <w:trPr>
          <w:trHeight w:val="7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C50C7A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940F7E" w:rsidRDefault="00B22B01" w:rsidP="00940F7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="00940F7E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940F7E">
              <w:rPr>
                <w:color w:val="000000"/>
                <w:sz w:val="24"/>
                <w:szCs w:val="24"/>
              </w:rPr>
              <w:t xml:space="preserve"> </w:t>
            </w:r>
            <w:r w:rsidR="00702661">
              <w:rPr>
                <w:color w:val="000000"/>
                <w:sz w:val="24"/>
                <w:szCs w:val="24"/>
              </w:rPr>
              <w:t>составить гражданско-правовой договор</w:t>
            </w:r>
          </w:p>
          <w:p w:rsidR="00940F7E" w:rsidRDefault="00940F7E" w:rsidP="00C50C7A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940F7E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 w:rsidR="00694B1B">
              <w:rPr>
                <w:color w:val="000000"/>
                <w:sz w:val="24"/>
                <w:szCs w:val="24"/>
              </w:rPr>
              <w:t xml:space="preserve"> </w:t>
            </w:r>
            <w:r w:rsidR="00694B1B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 w:rsidR="00694B1B">
              <w:rPr>
                <w:sz w:val="24"/>
                <w:szCs w:val="24"/>
              </w:rPr>
              <w:t xml:space="preserve">на тему </w:t>
            </w:r>
            <w:r w:rsidR="00702661">
              <w:rPr>
                <w:sz w:val="24"/>
                <w:szCs w:val="24"/>
              </w:rPr>
              <w:t>договоры в гражданском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090AA3" w:rsidP="00940F7E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EB7223">
        <w:trPr>
          <w:trHeight w:val="17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F7E" w:rsidRDefault="003D6D3A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1.6</w:t>
            </w:r>
          </w:p>
          <w:p w:rsidR="00940F7E" w:rsidRDefault="00A3475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</w:t>
            </w:r>
            <w:r w:rsidR="00940F7E">
              <w:rPr>
                <w:b/>
                <w:bCs/>
                <w:sz w:val="24"/>
                <w:szCs w:val="24"/>
              </w:rPr>
              <w:t>. Исполнение договорных обязательств.</w:t>
            </w: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E32789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48326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9210D6" w:rsidRDefault="00483269" w:rsidP="00C50C7A">
            <w:pPr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12FE" w:rsidTr="00573564">
        <w:trPr>
          <w:trHeight w:val="21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3D6D3A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1.7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</w:p>
          <w:p w:rsidR="00EB7223" w:rsidRDefault="00EB7223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B7223" w:rsidRDefault="00EB7223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5D12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7F24" w:rsidRDefault="009F7F24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2FE" w:rsidTr="00732A3B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Pr="006364F3" w:rsidRDefault="005D12FE" w:rsidP="005D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>
              <w:rPr>
                <w:sz w:val="24"/>
                <w:szCs w:val="24"/>
              </w:rPr>
              <w:t>на тему  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090AA3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Pr="00940F7E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21F9" w:rsidTr="00573564">
        <w:trPr>
          <w:trHeight w:val="100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Default="003D6D3A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1.8</w:t>
            </w:r>
          </w:p>
          <w:p w:rsidR="00BC21F9" w:rsidRDefault="00BC21F9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Организационно-правовые формы предприятий</w:t>
            </w:r>
          </w:p>
          <w:p w:rsidR="00BC21F9" w:rsidRDefault="00BC21F9" w:rsidP="00732A3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1F9" w:rsidRPr="00BC21F9" w:rsidRDefault="00BC21F9" w:rsidP="00BC2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Default="00BC21F9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Pr="00940F7E" w:rsidRDefault="00BC21F9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92D97" w:rsidTr="00573564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006C6">
              <w:rPr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="003D6D3A">
              <w:rPr>
                <w:b/>
                <w:color w:val="000000"/>
                <w:sz w:val="24"/>
                <w:szCs w:val="24"/>
              </w:rPr>
              <w:t>9</w:t>
            </w:r>
          </w:p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Создание, реорганизация и ликвидация юридического лица. Банкротство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B7423A" w:rsidRDefault="00092D97" w:rsidP="00092D97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Государственная регистрация и государственный реестр юридического лица. Порядок и способы создания юридического лица. Понятие и формы реорганизации юридического лица. Понятие и основание ликвидации юридического лица. Порядок ликвидации. Банкротство.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B7423A" w:rsidRDefault="00092D97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92D97" w:rsidRDefault="00092D97" w:rsidP="005735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D97" w:rsidRDefault="00092D97" w:rsidP="0057356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1EB7" w:rsidTr="007B1EB7">
        <w:trPr>
          <w:trHeight w:val="929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EB7" w:rsidRDefault="007B1EB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EB7" w:rsidRPr="006364F3" w:rsidRDefault="007B1EB7" w:rsidP="00573564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7B1EB7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="007B1EB7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7B1EB7">
              <w:rPr>
                <w:color w:val="000000"/>
                <w:sz w:val="24"/>
                <w:szCs w:val="24"/>
              </w:rPr>
              <w:t xml:space="preserve"> решение задач </w:t>
            </w:r>
          </w:p>
          <w:p w:rsidR="007B1EB7" w:rsidRDefault="007B1EB7" w:rsidP="00573564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EB7" w:rsidRDefault="007B1EB7" w:rsidP="007B1EB7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EB7" w:rsidRPr="00940F7E" w:rsidRDefault="007B1EB7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22B01" w:rsidTr="00B6793D">
        <w:trPr>
          <w:trHeight w:val="86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Трудовое право</w:t>
            </w:r>
          </w:p>
          <w:p w:rsidR="00B22B01" w:rsidRDefault="00B22B01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22B01" w:rsidRDefault="00B22B01" w:rsidP="00C33C45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B22B01" w:rsidRPr="003D6D3A" w:rsidRDefault="00B22B01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Трудовой договор. </w:t>
            </w:r>
          </w:p>
          <w:p w:rsidR="00B22B01" w:rsidRDefault="00B22B01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B22B01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Трудовое право как отрасль российского права.  Предмет, метод трудового права. Возрастные вступления в трудовые отношения. 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B01" w:rsidRDefault="00B22B01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B22B01" w:rsidRPr="00F07252" w:rsidRDefault="00B22B01" w:rsidP="00C50C7A">
            <w:pPr>
              <w:spacing w:after="0" w:line="240" w:lineRule="auto"/>
              <w:jc w:val="center"/>
              <w:rPr>
                <w:b/>
                <w:iCs/>
                <w:color w:val="000000"/>
                <w:sz w:val="32"/>
                <w:szCs w:val="32"/>
              </w:rPr>
            </w:pPr>
            <w:r>
              <w:rPr>
                <w:b/>
                <w:i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22B01" w:rsidTr="00B6793D">
        <w:trPr>
          <w:trHeight w:val="837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01" w:rsidRDefault="00B22B01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B22B01" w:rsidRDefault="00B22B01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B01" w:rsidRDefault="00B22B01" w:rsidP="00F0725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22B01" w:rsidTr="00B6793D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2B01" w:rsidRDefault="00B22B01" w:rsidP="0056633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1" w:rsidRDefault="00B22B01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изучение ТК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1" w:rsidRPr="00F07252" w:rsidRDefault="00B22B01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B22B01" w:rsidRDefault="00B22B01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B01" w:rsidRPr="00F07252" w:rsidRDefault="00B22B01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22B01" w:rsidTr="00C411BB">
        <w:trPr>
          <w:trHeight w:val="25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B01" w:rsidRDefault="00B823D0" w:rsidP="00B6793D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="00B22B01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B22B01">
              <w:rPr>
                <w:color w:val="000000"/>
                <w:sz w:val="24"/>
                <w:szCs w:val="24"/>
              </w:rPr>
              <w:t xml:space="preserve"> заполнение трудового договора, решение задач.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B6793D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Pr="009210D6" w:rsidRDefault="00B22B01" w:rsidP="00B679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E81A39" w:rsidTr="00090AA3">
        <w:trPr>
          <w:trHeight w:val="87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A39" w:rsidRDefault="00E81A3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823D0">
              <w:rPr>
                <w:b/>
                <w:color w:val="000000"/>
                <w:sz w:val="24"/>
                <w:szCs w:val="24"/>
              </w:rPr>
              <w:t xml:space="preserve"> 2.2</w:t>
            </w:r>
          </w:p>
          <w:p w:rsidR="00E81A39" w:rsidRDefault="00E81A3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E81A39" w:rsidRDefault="00E81A3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Дисциплина труда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Pr="00F402E2" w:rsidRDefault="00E81A39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Default="00E81A3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A39" w:rsidRDefault="00E81A39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23D0" w:rsidTr="00090AA3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3D0" w:rsidRDefault="00B823D0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2.3</w:t>
            </w:r>
          </w:p>
          <w:p w:rsidR="00EB7223" w:rsidRDefault="00B823D0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Материальная ответственность</w:t>
            </w:r>
          </w:p>
          <w:p w:rsidR="00EB7223" w:rsidRDefault="00EB722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B7223" w:rsidRDefault="00EB722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B7223" w:rsidRDefault="00EB722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823D0" w:rsidRDefault="00B823D0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823D0" w:rsidRDefault="00B823D0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Pr="00327D74" w:rsidRDefault="00B823D0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Default="00B823D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23D0" w:rsidRDefault="00B823D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23D0" w:rsidRPr="00A7758D" w:rsidRDefault="00B823D0" w:rsidP="00090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23D0" w:rsidTr="00D842A8">
        <w:trPr>
          <w:trHeight w:val="82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23D0" w:rsidRDefault="00B823D0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Default="00B823D0" w:rsidP="00B823D0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B823D0" w:rsidRDefault="00B823D0" w:rsidP="005369B0">
            <w:pPr>
              <w:pStyle w:val="ab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D0" w:rsidRDefault="00B823D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23D0" w:rsidRDefault="00B823D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B823D0" w:rsidRDefault="00B823D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23D0" w:rsidRDefault="00B823D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E4A43" w:rsidTr="002D7CB2">
        <w:trPr>
          <w:trHeight w:val="26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43" w:rsidRDefault="00FE4A43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43" w:rsidRDefault="00FE4A43" w:rsidP="00FE4A43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№7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оформление договора о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A43" w:rsidRDefault="00FE4A43" w:rsidP="00A95629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A43" w:rsidRPr="009210D6" w:rsidRDefault="00FE4A43" w:rsidP="00A956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A7758D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540141" w:rsidP="0054014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FB0CCC">
              <w:rPr>
                <w:b/>
                <w:bCs/>
                <w:sz w:val="24"/>
                <w:szCs w:val="24"/>
              </w:rPr>
              <w:t>3</w:t>
            </w:r>
            <w:r w:rsidR="00A7758D">
              <w:rPr>
                <w:b/>
                <w:bCs/>
                <w:sz w:val="24"/>
                <w:szCs w:val="24"/>
              </w:rPr>
              <w:t xml:space="preserve">. Административное </w:t>
            </w:r>
            <w:r>
              <w:rPr>
                <w:b/>
                <w:bCs/>
                <w:sz w:val="24"/>
                <w:szCs w:val="24"/>
              </w:rPr>
              <w:t xml:space="preserve"> право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70B6" w:rsidRPr="00A17BC3" w:rsidRDefault="008E61CA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16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E4A43" w:rsidTr="00064267">
        <w:trPr>
          <w:trHeight w:val="105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A43" w:rsidRDefault="00FE4A43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3. 1</w:t>
            </w:r>
          </w:p>
          <w:p w:rsidR="00FE4A43" w:rsidRDefault="00FE4A43" w:rsidP="00FE4A4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право. Общая характеристика административного права.</w:t>
            </w:r>
            <w:r>
              <w:rPr>
                <w:b/>
                <w:color w:val="000000"/>
                <w:sz w:val="24"/>
                <w:szCs w:val="24"/>
              </w:rPr>
              <w:t>Административ</w:t>
            </w:r>
          </w:p>
          <w:p w:rsidR="00FE4A43" w:rsidRDefault="00FE4A43" w:rsidP="00FE4A4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ные правонарушения и административная ответственность.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A43" w:rsidRDefault="00FE4A4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административного права, его предмет, метод. Источники административного права. Административно-правовые нормы.</w:t>
            </w:r>
          </w:p>
          <w:p w:rsidR="00FE4A43" w:rsidRDefault="00FE4A4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  <w:p w:rsidR="00FE4A43" w:rsidRDefault="00FE4A4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FE4A43" w:rsidRPr="00A7758D" w:rsidRDefault="00FE4A4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43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FE4A43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E4A43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E4A43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E4A43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E4A43" w:rsidRPr="00A7758D" w:rsidRDefault="00FE4A43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A43" w:rsidRDefault="00FE4A43" w:rsidP="00A775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4A43" w:rsidTr="00D40FA2">
        <w:trPr>
          <w:trHeight w:val="1104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A43" w:rsidRDefault="00FE4A43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43" w:rsidRDefault="00FE4A43" w:rsidP="00BD55D5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FE4A43" w:rsidRDefault="00FE4A43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43" w:rsidRDefault="00FE4A43" w:rsidP="000642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FE4A43" w:rsidRDefault="00FE4A43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E4A43" w:rsidRDefault="00FE4A43" w:rsidP="00E3278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E4A43" w:rsidRDefault="00FE4A43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A43" w:rsidRDefault="00FE4A43" w:rsidP="00C50C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FE4A43" w:rsidRDefault="00FE4A43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369B0" w:rsidTr="00090AA3">
        <w:trPr>
          <w:trHeight w:val="124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EE6FD5">
              <w:rPr>
                <w:b/>
                <w:color w:val="000000"/>
                <w:sz w:val="24"/>
                <w:szCs w:val="24"/>
              </w:rPr>
              <w:t xml:space="preserve"> 3. 2</w:t>
            </w:r>
          </w:p>
          <w:p w:rsidR="005369B0" w:rsidRDefault="005369B0" w:rsidP="008448AA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Pr="00FB519A" w:rsidRDefault="005369B0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69B0" w:rsidTr="00B6793D">
        <w:trPr>
          <w:trHeight w:val="27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EE6FD5" w:rsidP="005369B0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№8</w:t>
            </w:r>
            <w:r w:rsidR="005369B0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5369B0">
              <w:rPr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69B0" w:rsidTr="00090AA3">
        <w:trPr>
          <w:trHeight w:val="267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A555B6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5369B0" w:rsidRDefault="00A555B6" w:rsidP="00A555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214128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55B6" w:rsidTr="00090AA3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EE6FD5">
              <w:rPr>
                <w:b/>
                <w:color w:val="000000"/>
                <w:sz w:val="24"/>
                <w:szCs w:val="24"/>
              </w:rPr>
              <w:t xml:space="preserve"> 3. 3</w:t>
            </w:r>
          </w:p>
          <w:p w:rsidR="00A555B6" w:rsidRDefault="00A555B6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Производство по административным правонарушениям. Назначение административного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Pr="00FB519A" w:rsidRDefault="00A555B6" w:rsidP="00F10D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lastRenderedPageBreak/>
              <w:t xml:space="preserve">Понятие </w:t>
            </w:r>
            <w:r w:rsidRPr="00FB519A">
              <w:rPr>
                <w:bCs/>
                <w:sz w:val="24"/>
                <w:szCs w:val="24"/>
              </w:rPr>
              <w:t xml:space="preserve"> производства по административным </w:t>
            </w:r>
            <w:r w:rsidRPr="00FB519A">
              <w:rPr>
                <w:bCs/>
                <w:sz w:val="24"/>
                <w:szCs w:val="24"/>
              </w:rPr>
              <w:lastRenderedPageBreak/>
              <w:t>правонарушениям.</w:t>
            </w:r>
            <w:r>
              <w:rPr>
                <w:bCs/>
                <w:sz w:val="24"/>
                <w:szCs w:val="24"/>
              </w:rPr>
              <w:t xml:space="preserve"> Стадии производства. </w:t>
            </w:r>
            <w:r w:rsidRPr="00FB519A">
              <w:rPr>
                <w:bCs/>
                <w:sz w:val="24"/>
                <w:szCs w:val="24"/>
              </w:rPr>
              <w:t>Назначение административного наказания.</w:t>
            </w:r>
          </w:p>
          <w:p w:rsidR="00A555B6" w:rsidRDefault="00A555B6" w:rsidP="00F10D8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55B6" w:rsidTr="00090AA3">
        <w:trPr>
          <w:trHeight w:val="363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B1" w:rsidRDefault="003C2BB1" w:rsidP="003C2BB1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A555B6" w:rsidRDefault="003C2BB1" w:rsidP="003C2B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6" w:rsidRDefault="003C2BB1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B6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3C2BB1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C2BB1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210D6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Default="009210D6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bookmarkStart w:id="4" w:name="OLE_LINK4"/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D6" w:rsidRPr="00D83155" w:rsidRDefault="00A4472B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Pr="00D83155" w:rsidRDefault="00A4472B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A4472B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A4472B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2B" w:rsidRPr="006F7085" w:rsidRDefault="00A4472B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B6793D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72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D70B6" w:rsidP="000C3364">
      <w:pPr>
        <w:pStyle w:val="1"/>
        <w:numPr>
          <w:ilvl w:val="0"/>
          <w:numId w:val="29"/>
        </w:num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ист</w:t>
      </w:r>
      <w:r>
        <w:rPr>
          <w:szCs w:val="28"/>
        </w:rPr>
        <w:t>ории</w:t>
      </w:r>
      <w:r w:rsidRPr="00CB1700">
        <w:rPr>
          <w:szCs w:val="28"/>
        </w:rPr>
        <w:t xml:space="preserve"> 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Е.А.Певцова.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«Гражданское право» Москва, 2009 год.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Default="000C3364" w:rsidP="00780087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0004B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0004B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0004B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0004B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0004B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0004B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0004B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C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D9" w:rsidRDefault="00F356D9" w:rsidP="00D008E6">
      <w:pPr>
        <w:spacing w:after="0" w:line="240" w:lineRule="auto"/>
      </w:pPr>
      <w:r>
        <w:separator/>
      </w:r>
    </w:p>
  </w:endnote>
  <w:endnote w:type="continuationSeparator" w:id="1">
    <w:p w:rsidR="00F356D9" w:rsidRDefault="00F356D9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D9" w:rsidRDefault="00F356D9" w:rsidP="00D008E6">
      <w:pPr>
        <w:spacing w:after="0" w:line="240" w:lineRule="auto"/>
      </w:pPr>
      <w:r>
        <w:separator/>
      </w:r>
    </w:p>
  </w:footnote>
  <w:footnote w:type="continuationSeparator" w:id="1">
    <w:p w:rsidR="00F356D9" w:rsidRDefault="00F356D9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0A12"/>
    <w:rsid w:val="00015238"/>
    <w:rsid w:val="00036F7B"/>
    <w:rsid w:val="00042888"/>
    <w:rsid w:val="00064267"/>
    <w:rsid w:val="00067025"/>
    <w:rsid w:val="00083204"/>
    <w:rsid w:val="000870BB"/>
    <w:rsid w:val="00090AA3"/>
    <w:rsid w:val="00092D97"/>
    <w:rsid w:val="000C3364"/>
    <w:rsid w:val="000D7D83"/>
    <w:rsid w:val="000E6F04"/>
    <w:rsid w:val="000F2641"/>
    <w:rsid w:val="000F4EBB"/>
    <w:rsid w:val="001033B9"/>
    <w:rsid w:val="001B2654"/>
    <w:rsid w:val="001B653D"/>
    <w:rsid w:val="001F59F4"/>
    <w:rsid w:val="00214128"/>
    <w:rsid w:val="00221615"/>
    <w:rsid w:val="00222DDD"/>
    <w:rsid w:val="00232D03"/>
    <w:rsid w:val="00246B2C"/>
    <w:rsid w:val="00252638"/>
    <w:rsid w:val="0027331B"/>
    <w:rsid w:val="00275550"/>
    <w:rsid w:val="002767F1"/>
    <w:rsid w:val="00292507"/>
    <w:rsid w:val="002D70B6"/>
    <w:rsid w:val="002E6708"/>
    <w:rsid w:val="00327D74"/>
    <w:rsid w:val="00341494"/>
    <w:rsid w:val="0034290F"/>
    <w:rsid w:val="0034741A"/>
    <w:rsid w:val="0039350C"/>
    <w:rsid w:val="003B7C61"/>
    <w:rsid w:val="003C2BB1"/>
    <w:rsid w:val="003D6D3A"/>
    <w:rsid w:val="003F7299"/>
    <w:rsid w:val="00401859"/>
    <w:rsid w:val="00417448"/>
    <w:rsid w:val="0043056C"/>
    <w:rsid w:val="004743A0"/>
    <w:rsid w:val="00483269"/>
    <w:rsid w:val="004B7B4B"/>
    <w:rsid w:val="004D74D2"/>
    <w:rsid w:val="004E6D09"/>
    <w:rsid w:val="00504B08"/>
    <w:rsid w:val="00533297"/>
    <w:rsid w:val="005369B0"/>
    <w:rsid w:val="00537FEE"/>
    <w:rsid w:val="00540141"/>
    <w:rsid w:val="00566337"/>
    <w:rsid w:val="00573564"/>
    <w:rsid w:val="00592BD8"/>
    <w:rsid w:val="005A0E66"/>
    <w:rsid w:val="005B7FFC"/>
    <w:rsid w:val="005C7C4F"/>
    <w:rsid w:val="005D12FE"/>
    <w:rsid w:val="00601671"/>
    <w:rsid w:val="0061028D"/>
    <w:rsid w:val="00621946"/>
    <w:rsid w:val="00651803"/>
    <w:rsid w:val="00694B1B"/>
    <w:rsid w:val="006A648E"/>
    <w:rsid w:val="006E666F"/>
    <w:rsid w:val="006F7085"/>
    <w:rsid w:val="00702661"/>
    <w:rsid w:val="007026F3"/>
    <w:rsid w:val="007209FD"/>
    <w:rsid w:val="00731FF8"/>
    <w:rsid w:val="00732A3B"/>
    <w:rsid w:val="0074571C"/>
    <w:rsid w:val="007646E8"/>
    <w:rsid w:val="00780087"/>
    <w:rsid w:val="007841C4"/>
    <w:rsid w:val="007B1EB7"/>
    <w:rsid w:val="007E176B"/>
    <w:rsid w:val="008448AA"/>
    <w:rsid w:val="00852287"/>
    <w:rsid w:val="0086599D"/>
    <w:rsid w:val="00881842"/>
    <w:rsid w:val="008A0C2F"/>
    <w:rsid w:val="008B5202"/>
    <w:rsid w:val="008C1AFB"/>
    <w:rsid w:val="008C20AB"/>
    <w:rsid w:val="008C437B"/>
    <w:rsid w:val="008E2D1D"/>
    <w:rsid w:val="008E61CA"/>
    <w:rsid w:val="009210D6"/>
    <w:rsid w:val="00934D7B"/>
    <w:rsid w:val="00940F7E"/>
    <w:rsid w:val="00943F62"/>
    <w:rsid w:val="00967E17"/>
    <w:rsid w:val="00982931"/>
    <w:rsid w:val="009A0427"/>
    <w:rsid w:val="009C7440"/>
    <w:rsid w:val="009F207E"/>
    <w:rsid w:val="009F485D"/>
    <w:rsid w:val="009F7F24"/>
    <w:rsid w:val="00A17BC3"/>
    <w:rsid w:val="00A258A2"/>
    <w:rsid w:val="00A34756"/>
    <w:rsid w:val="00A4472B"/>
    <w:rsid w:val="00A555B6"/>
    <w:rsid w:val="00A74B10"/>
    <w:rsid w:val="00A7758D"/>
    <w:rsid w:val="00A85214"/>
    <w:rsid w:val="00A95CDC"/>
    <w:rsid w:val="00AC2860"/>
    <w:rsid w:val="00AD4EBF"/>
    <w:rsid w:val="00AF4EB4"/>
    <w:rsid w:val="00B006C6"/>
    <w:rsid w:val="00B02728"/>
    <w:rsid w:val="00B146D8"/>
    <w:rsid w:val="00B17353"/>
    <w:rsid w:val="00B22B01"/>
    <w:rsid w:val="00B2747F"/>
    <w:rsid w:val="00B40AEA"/>
    <w:rsid w:val="00B52E13"/>
    <w:rsid w:val="00B6793D"/>
    <w:rsid w:val="00B7423A"/>
    <w:rsid w:val="00B823D0"/>
    <w:rsid w:val="00BC21F9"/>
    <w:rsid w:val="00BD537E"/>
    <w:rsid w:val="00BD55D5"/>
    <w:rsid w:val="00C23139"/>
    <w:rsid w:val="00C33C45"/>
    <w:rsid w:val="00C37FED"/>
    <w:rsid w:val="00C50C7A"/>
    <w:rsid w:val="00C65874"/>
    <w:rsid w:val="00C70239"/>
    <w:rsid w:val="00C7741B"/>
    <w:rsid w:val="00C862F6"/>
    <w:rsid w:val="00C942BC"/>
    <w:rsid w:val="00CB7CAC"/>
    <w:rsid w:val="00CF3435"/>
    <w:rsid w:val="00CF5492"/>
    <w:rsid w:val="00D008E6"/>
    <w:rsid w:val="00D068FD"/>
    <w:rsid w:val="00D22785"/>
    <w:rsid w:val="00D36B86"/>
    <w:rsid w:val="00D66C23"/>
    <w:rsid w:val="00D83155"/>
    <w:rsid w:val="00D90DC7"/>
    <w:rsid w:val="00DE06D0"/>
    <w:rsid w:val="00E0172B"/>
    <w:rsid w:val="00E01ADE"/>
    <w:rsid w:val="00E2040B"/>
    <w:rsid w:val="00E31EFC"/>
    <w:rsid w:val="00E32789"/>
    <w:rsid w:val="00E51787"/>
    <w:rsid w:val="00E55423"/>
    <w:rsid w:val="00E814A1"/>
    <w:rsid w:val="00E81A39"/>
    <w:rsid w:val="00EB7223"/>
    <w:rsid w:val="00EE6FD5"/>
    <w:rsid w:val="00F0004B"/>
    <w:rsid w:val="00F07252"/>
    <w:rsid w:val="00F10D8A"/>
    <w:rsid w:val="00F356D9"/>
    <w:rsid w:val="00F402E2"/>
    <w:rsid w:val="00FB0CCC"/>
    <w:rsid w:val="00FB519A"/>
    <w:rsid w:val="00FB5352"/>
    <w:rsid w:val="00FC39F7"/>
    <w:rsid w:val="00FE4A43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10A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3CE6-019B-429F-8F9F-85798704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15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46</cp:revision>
  <dcterms:created xsi:type="dcterms:W3CDTF">2014-11-15T17:37:00Z</dcterms:created>
  <dcterms:modified xsi:type="dcterms:W3CDTF">2017-08-23T09:13:00Z</dcterms:modified>
</cp:coreProperties>
</file>